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280" w:before="28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80" w:before="28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 Paper Reflection</w:t>
      </w:r>
    </w:p>
    <w:p w:rsidR="00000000" w:rsidDel="00000000" w:rsidP="00000000" w:rsidRDefault="00000000" w:rsidRPr="00000000" w14:paraId="00000005">
      <w:pPr>
        <w:spacing w:line="48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after="280" w:before="28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7">
      <w:pPr>
        <w:spacing w:after="280" w:before="28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Name:</w:t>
      </w:r>
    </w:p>
    <w:p w:rsidR="00000000" w:rsidDel="00000000" w:rsidP="00000000" w:rsidRDefault="00000000" w:rsidRPr="00000000" w14:paraId="00000008">
      <w:pPr>
        <w:spacing w:after="280" w:before="28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Number:</w:t>
      </w:r>
    </w:p>
    <w:p w:rsidR="00000000" w:rsidDel="00000000" w:rsidP="00000000" w:rsidRDefault="00000000" w:rsidRPr="00000000" w14:paraId="00000009">
      <w:pPr>
        <w:spacing w:after="280" w:before="28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Professor’s Name:</w:t>
      </w:r>
    </w:p>
    <w:p w:rsidR="00000000" w:rsidDel="00000000" w:rsidP="00000000" w:rsidRDefault="00000000" w:rsidRPr="00000000" w14:paraId="0000000A">
      <w:pPr>
        <w:spacing w:after="280" w:before="28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B">
      <w:pPr>
        <w:spacing w:line="48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Law Paper Reflection</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According to Kulig &amp; Cullen (2017), there has been a significant increase in the laws whose names are attributable to a specific individual who committed a particular crime. Most of the names to these laws are named after white victims. Although there is no specific reason why about 80 percent of these laws are named after white victims, it is general knowledge that majority of the citizens in United States are white, with the Black-American population making a minority group. It should be understood that these laws are not created on the basis of racial backgrounds, and the attribute of having more whites in such laws may just be considered to be a mere coincidence because they are made without any discussions on racial symbolism (</w:t>
      </w:r>
      <w:r w:rsidDel="00000000" w:rsidR="00000000" w:rsidRPr="00000000">
        <w:rPr>
          <w:rFonts w:ascii="Times New Roman" w:cs="Times New Roman" w:eastAsia="Times New Roman" w:hAnsi="Times New Roman"/>
          <w:color w:val="222222"/>
          <w:sz w:val="24"/>
          <w:szCs w:val="24"/>
          <w:highlight w:val="white"/>
          <w:rtl w:val="0"/>
        </w:rPr>
        <w:t xml:space="preserve">Kulig &amp; Cullen, 2017).</w:t>
      </w:r>
      <w:r w:rsidDel="00000000" w:rsidR="00000000" w:rsidRPr="00000000">
        <w:rPr>
          <w:rFonts w:ascii="Times New Roman" w:cs="Times New Roman" w:eastAsia="Times New Roman" w:hAnsi="Times New Roman"/>
          <w:sz w:val="24"/>
          <w:szCs w:val="24"/>
          <w:rtl w:val="0"/>
        </w:rPr>
        <w:t xml:space="preserve"> This is an indication that the black victims are less compared to the white victims based on the population perspective. </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laws that are named after victims have experienced a dramatic increase due to the government efforts towards downgrading the rehabilitative needs and the status of those who commit crimes as well as helping in hearing about the legal processes and concerns surrounding the specific cases of the individuals. This implies that these cases are undertaken to justify the punitive control policies for the crimes committed. In addition, these laws are meant to create a clearer image regarding the specific victims who require memorialization and protection, as well as providing a substantive merit on the specific legal statutes (</w:t>
      </w:r>
      <w:r w:rsidDel="00000000" w:rsidR="00000000" w:rsidRPr="00000000">
        <w:rPr>
          <w:rFonts w:ascii="Times New Roman" w:cs="Times New Roman" w:eastAsia="Times New Roman" w:hAnsi="Times New Roman"/>
          <w:color w:val="222222"/>
          <w:sz w:val="24"/>
          <w:szCs w:val="24"/>
          <w:highlight w:val="white"/>
          <w:rtl w:val="0"/>
        </w:rPr>
        <w:t xml:space="preserve">Kulig &amp; Cullen, 2017).</w:t>
      </w:r>
      <w:r w:rsidDel="00000000" w:rsidR="00000000" w:rsidRPr="00000000">
        <w:rPr>
          <w:rFonts w:ascii="Times New Roman" w:cs="Times New Roman" w:eastAsia="Times New Roman" w:hAnsi="Times New Roman"/>
          <w:sz w:val="24"/>
          <w:szCs w:val="24"/>
          <w:rtl w:val="0"/>
        </w:rPr>
        <w:t xml:space="preserve"> The long-term impact of the laws that are named after individual victims is that they may have a significant influence in the society in terms of determining the specific outcomes of specific cases if judicial precedent is anything to go by. As a result, attributing laws to names provides a bigger picture of the case, and significantly sinks into the memories of the lawmakers, the judiciary, as well as the general public in terms of defining specific cases.</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Potter argues on the theoretical concepts that are related to feminism in helping in the development of the Black Feminist Criminology. In this regard, Potter’s analysis is based on how intimate male partners abuse their wives based on their race, particularly the African American women. In this regard, the black feminist criminology described by Potter provides a broader picture on how the feminist criminology is tremendously based on the critical race feminist theory and black feminist theory (</w:t>
      </w:r>
      <w:r w:rsidDel="00000000" w:rsidR="00000000" w:rsidRPr="00000000">
        <w:rPr>
          <w:rFonts w:ascii="Times New Roman" w:cs="Times New Roman" w:eastAsia="Times New Roman" w:hAnsi="Times New Roman"/>
          <w:color w:val="222222"/>
          <w:sz w:val="24"/>
          <w:szCs w:val="24"/>
          <w:highlight w:val="white"/>
          <w:rtl w:val="0"/>
        </w:rPr>
        <w:t xml:space="preserve">Potter, 2006).</w:t>
      </w:r>
      <w:r w:rsidDel="00000000" w:rsidR="00000000" w:rsidRPr="00000000">
        <w:rPr>
          <w:rFonts w:ascii="Times New Roman" w:cs="Times New Roman" w:eastAsia="Times New Roman" w:hAnsi="Times New Roman"/>
          <w:sz w:val="24"/>
          <w:szCs w:val="24"/>
          <w:rtl w:val="0"/>
        </w:rPr>
        <w:t xml:space="preserve"> The black feminist theory, according to Potter embraces the fact that intimate partner abuse against women, as well as the familial, cultural, and structural influences are significantly connected. Research has had its position that the black feminist criminology has played a significant role towards the realization of a more precise explanation regarding the manner in which black women have experienced and responded to various abuses that are perpetrated by their intimate partners. It also provides a better understanding of the way the process of processing crime has responded to the Black women who are battered (</w:t>
      </w:r>
      <w:r w:rsidDel="00000000" w:rsidR="00000000" w:rsidRPr="00000000">
        <w:rPr>
          <w:rFonts w:ascii="Times New Roman" w:cs="Times New Roman" w:eastAsia="Times New Roman" w:hAnsi="Times New Roman"/>
          <w:color w:val="222222"/>
          <w:sz w:val="24"/>
          <w:szCs w:val="24"/>
          <w:highlight w:val="white"/>
          <w:rtl w:val="0"/>
        </w:rPr>
        <w:t xml:space="preserve">Potter, 2006).</w:t>
      </w: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ab/>
        <w:t xml:space="preserve">For the black women, it is imperative that they are more obliged towards putting any issues related to race ahead of issues based on sex. In this regard, the Black women portray a significantly strong sense of loyalty and cultural affinity to society. Even though the Black women have been reported to face domestic violence more than their white counterparts, they are highly unlikely to express themselves due to their fear of receiving unfair treatment on the basis of their culture and race. As a result, they decide to keep quiet as a way of protecting their intimate partners and their community at large. This is an indication that Black women tend to be stronger when compared to white women. As such, this strength acts as a great source of resilience, although it may make them feel terrible without having an individual to turn to when they experience such traumatic challenges. </w:t>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17">
      <w:pPr>
        <w:spacing w:line="480" w:lineRule="auto"/>
        <w:ind w:left="720" w:hanging="720"/>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color w:val="222222"/>
          <w:sz w:val="24"/>
          <w:szCs w:val="24"/>
          <w:highlight w:val="white"/>
          <w:rtl w:val="0"/>
        </w:rPr>
        <w:t xml:space="preserve">Kulig, T. C., &amp; Cullen, F. T. (2017). Where is Latisha’s law? Black invisibility in the social construction of victimhood. </w:t>
      </w:r>
      <w:r w:rsidDel="00000000" w:rsidR="00000000" w:rsidRPr="00000000">
        <w:rPr>
          <w:rFonts w:ascii="Times New Roman" w:cs="Times New Roman" w:eastAsia="Times New Roman" w:hAnsi="Times New Roman"/>
          <w:i w:val="1"/>
          <w:color w:val="222222"/>
          <w:sz w:val="24"/>
          <w:szCs w:val="24"/>
          <w:highlight w:val="white"/>
          <w:rtl w:val="0"/>
        </w:rPr>
        <w:t xml:space="preserve">Justice Quarterly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34</w:t>
      </w:r>
      <w:r w:rsidDel="00000000" w:rsidR="00000000" w:rsidRPr="00000000">
        <w:rPr>
          <w:rFonts w:ascii="Times New Roman" w:cs="Times New Roman" w:eastAsia="Times New Roman" w:hAnsi="Times New Roman"/>
          <w:color w:val="222222"/>
          <w:sz w:val="24"/>
          <w:szCs w:val="24"/>
          <w:highlight w:val="white"/>
          <w:rtl w:val="0"/>
        </w:rPr>
        <w:t xml:space="preserve">(6), 978-1013.</w:t>
      </w:r>
      <w:r w:rsidDel="00000000" w:rsidR="00000000" w:rsidRPr="00000000">
        <w:rPr>
          <w:rtl w:val="0"/>
        </w:rPr>
      </w:r>
    </w:p>
    <w:p w:rsidR="00000000" w:rsidDel="00000000" w:rsidP="00000000" w:rsidRDefault="00000000" w:rsidRPr="00000000" w14:paraId="00000018">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Potter, H. (2006). An argument for black feminist criminology: Understanding African American women’s experiences with intimate partner abuse using an integrated approach. </w:t>
      </w:r>
      <w:r w:rsidDel="00000000" w:rsidR="00000000" w:rsidRPr="00000000">
        <w:rPr>
          <w:rFonts w:ascii="Times New Roman" w:cs="Times New Roman" w:eastAsia="Times New Roman" w:hAnsi="Times New Roman"/>
          <w:i w:val="1"/>
          <w:color w:val="222222"/>
          <w:sz w:val="24"/>
          <w:szCs w:val="24"/>
          <w:highlight w:val="white"/>
          <w:rtl w:val="0"/>
        </w:rPr>
        <w:t xml:space="preserve">Feminist criminology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(2), 106-124.</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706AD"/>
    <w:pPr>
      <w:spacing w:after="200" w:line="276"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2019-06-17T03:07:00Z</dcterms:created>
  <dc:creator>John</dc:creator>
</cp:coreProperties>
</file>